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chtelijst-accent11"/>
        <w:tblW w:w="9632" w:type="dxa"/>
        <w:tblLayout w:type="fixed"/>
        <w:tblLook w:val="0420" w:firstRow="1" w:lastRow="0" w:firstColumn="0" w:lastColumn="0" w:noHBand="0" w:noVBand="1"/>
      </w:tblPr>
      <w:tblGrid>
        <w:gridCol w:w="9632"/>
      </w:tblGrid>
      <w:tr w:rsidR="004D3EFB" w:rsidRPr="0071022D" w14:paraId="49592B6E" w14:textId="77777777" w:rsidTr="004D3EFB">
        <w:trPr>
          <w:cnfStyle w:val="100000000000" w:firstRow="1" w:lastRow="0" w:firstColumn="0" w:lastColumn="0" w:oddVBand="0" w:evenVBand="0" w:oddHBand="0" w:evenHBand="0" w:firstRowFirstColumn="0" w:firstRowLastColumn="0" w:lastRowFirstColumn="0" w:lastRowLastColumn="0"/>
        </w:trPr>
        <w:tc>
          <w:tcPr>
            <w:tcW w:w="9632" w:type="dxa"/>
          </w:tcPr>
          <w:p w14:paraId="68922318" w14:textId="2ACF7517" w:rsidR="004D3EFB" w:rsidRPr="004D3EFB" w:rsidRDefault="0069528B" w:rsidP="004D3EFB">
            <w:pPr>
              <w:pStyle w:val="Kop5"/>
              <w:jc w:val="center"/>
              <w:outlineLvl w:val="4"/>
              <w:rPr>
                <w:rFonts w:eastAsia="Times New Roman"/>
                <w:lang w:val="nl-NL" w:eastAsia="nl-NL"/>
              </w:rPr>
            </w:pPr>
            <w:r>
              <w:rPr>
                <w:lang w:val="nl-NL"/>
              </w:rPr>
              <w:t>Besluitvorming</w:t>
            </w:r>
            <w:r w:rsidR="004D3EFB" w:rsidRPr="004D3EFB">
              <w:rPr>
                <w:lang w:val="nl-NL"/>
              </w:rPr>
              <w:t xml:space="preserve"> werkgroepen ‘kansen en k</w:t>
            </w:r>
            <w:r w:rsidR="004D3EFB">
              <w:rPr>
                <w:lang w:val="nl-NL"/>
              </w:rPr>
              <w:t>nelpunten’</w:t>
            </w:r>
          </w:p>
        </w:tc>
      </w:tr>
      <w:tr w:rsidR="004D3EFB" w:rsidRPr="00782F50" w14:paraId="34B3989D"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5216186B" w14:textId="7EDD17F9" w:rsidR="00EF2F56" w:rsidRPr="00D07EE3" w:rsidRDefault="000D5767" w:rsidP="00EF2F56">
            <w:pPr>
              <w:spacing w:line="240" w:lineRule="atLeast"/>
              <w:jc w:val="center"/>
              <w:outlineLvl w:val="2"/>
              <w:rPr>
                <w:rFonts w:eastAsia="Times New Roman" w:cstheme="minorHAnsi"/>
                <w:lang w:eastAsia="nl-NL"/>
              </w:rPr>
            </w:pPr>
            <w:r w:rsidRPr="00D07EE3">
              <w:rPr>
                <w:rFonts w:eastAsia="Times New Roman" w:cstheme="minorHAnsi"/>
                <w:lang w:eastAsia="nl-NL"/>
              </w:rPr>
              <w:t xml:space="preserve">SDE </w:t>
            </w:r>
            <w:proofErr w:type="spellStart"/>
            <w:r w:rsidRPr="00D07EE3">
              <w:rPr>
                <w:rFonts w:eastAsia="Times New Roman" w:cstheme="minorHAnsi"/>
                <w:lang w:eastAsia="nl-NL"/>
              </w:rPr>
              <w:t>en</w:t>
            </w:r>
            <w:proofErr w:type="spellEnd"/>
            <w:r w:rsidRPr="00D07EE3">
              <w:rPr>
                <w:rFonts w:eastAsia="Times New Roman" w:cstheme="minorHAnsi"/>
                <w:lang w:eastAsia="nl-NL"/>
              </w:rPr>
              <w:t xml:space="preserve"> </w:t>
            </w:r>
            <w:proofErr w:type="spellStart"/>
            <w:r w:rsidRPr="00D07EE3">
              <w:rPr>
                <w:rFonts w:eastAsia="Times New Roman" w:cstheme="minorHAnsi"/>
                <w:lang w:eastAsia="nl-NL"/>
              </w:rPr>
              <w:t>maatschappelijke</w:t>
            </w:r>
            <w:proofErr w:type="spellEnd"/>
            <w:r w:rsidRPr="00D07EE3">
              <w:rPr>
                <w:rFonts w:eastAsia="Times New Roman" w:cstheme="minorHAnsi"/>
                <w:lang w:eastAsia="nl-NL"/>
              </w:rPr>
              <w:t xml:space="preserve"> </w:t>
            </w:r>
            <w:proofErr w:type="spellStart"/>
            <w:r w:rsidRPr="00D07EE3">
              <w:rPr>
                <w:rFonts w:eastAsia="Times New Roman" w:cstheme="minorHAnsi"/>
                <w:lang w:eastAsia="nl-NL"/>
              </w:rPr>
              <w:t>kosten</w:t>
            </w:r>
            <w:proofErr w:type="spellEnd"/>
          </w:p>
        </w:tc>
      </w:tr>
      <w:tr w:rsidR="004D3EFB" w:rsidRPr="0069528B" w14:paraId="3C27CED6" w14:textId="77777777" w:rsidTr="004D3EFB">
        <w:tc>
          <w:tcPr>
            <w:tcW w:w="9632" w:type="dxa"/>
            <w:shd w:val="clear" w:color="auto" w:fill="D5DCE4" w:themeFill="text2" w:themeFillTint="33"/>
          </w:tcPr>
          <w:p w14:paraId="68F28D68" w14:textId="04FAFD72" w:rsidR="004D3EFB" w:rsidRPr="004D3EFB" w:rsidRDefault="004D3EFB" w:rsidP="004D3EFB">
            <w:pPr>
              <w:spacing w:line="240" w:lineRule="atLeast"/>
              <w:rPr>
                <w:rFonts w:cstheme="minorHAnsi"/>
                <w:b/>
                <w:bCs/>
                <w:i/>
                <w:lang w:val="nl-NL"/>
              </w:rPr>
            </w:pPr>
            <w:r w:rsidRPr="004D3EFB">
              <w:rPr>
                <w:rFonts w:cstheme="minorHAnsi"/>
                <w:i/>
                <w:lang w:val="nl-NL"/>
              </w:rPr>
              <w:t xml:space="preserve">Omschrijving van de </w:t>
            </w:r>
            <w:r w:rsidR="0071022D">
              <w:rPr>
                <w:rFonts w:cstheme="minorHAnsi"/>
                <w:i/>
                <w:lang w:val="nl-NL"/>
              </w:rPr>
              <w:t xml:space="preserve">strategische </w:t>
            </w:r>
            <w:r w:rsidRPr="004D3EFB">
              <w:rPr>
                <w:rFonts w:cstheme="minorHAnsi"/>
                <w:i/>
                <w:lang w:val="nl-NL"/>
              </w:rPr>
              <w:t>k</w:t>
            </w:r>
            <w:r>
              <w:rPr>
                <w:rFonts w:cstheme="minorHAnsi"/>
                <w:i/>
                <w:lang w:val="nl-NL"/>
              </w:rPr>
              <w:t>euze</w:t>
            </w:r>
            <w:r w:rsidR="00D76DD8">
              <w:rPr>
                <w:rFonts w:cstheme="minorHAnsi"/>
                <w:i/>
                <w:lang w:val="nl-NL"/>
              </w:rPr>
              <w:t>(s)</w:t>
            </w:r>
          </w:p>
        </w:tc>
      </w:tr>
      <w:tr w:rsidR="004D3EFB" w:rsidRPr="0069528B" w14:paraId="5359A923"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1D17BE35" w14:textId="4942F8F4" w:rsidR="00283575" w:rsidRDefault="00283575" w:rsidP="00D07EE3">
            <w:pPr>
              <w:pStyle w:val="Geenafstand"/>
              <w:rPr>
                <w:rFonts w:ascii="Verdana" w:hAnsi="Verdana"/>
                <w:color w:val="auto"/>
                <w:sz w:val="18"/>
                <w:szCs w:val="18"/>
                <w:lang w:val="nl-NL"/>
              </w:rPr>
            </w:pPr>
            <w:r w:rsidRPr="001A7C6D">
              <w:rPr>
                <w:rFonts w:ascii="Verdana" w:hAnsi="Verdana"/>
                <w:color w:val="auto"/>
                <w:sz w:val="18"/>
                <w:szCs w:val="18"/>
                <w:lang w:val="nl-NL"/>
              </w:rPr>
              <w:t xml:space="preserve">In de concept </w:t>
            </w:r>
            <w:proofErr w:type="spellStart"/>
            <w:r w:rsidRPr="001A7C6D">
              <w:rPr>
                <w:rFonts w:ascii="Verdana" w:hAnsi="Verdana"/>
                <w:color w:val="auto"/>
                <w:sz w:val="18"/>
                <w:szCs w:val="18"/>
                <w:lang w:val="nl-NL"/>
              </w:rPr>
              <w:t>RES´en</w:t>
            </w:r>
            <w:proofErr w:type="spellEnd"/>
            <w:r w:rsidRPr="001A7C6D">
              <w:rPr>
                <w:rFonts w:ascii="Verdana" w:hAnsi="Verdana"/>
                <w:color w:val="auto"/>
                <w:sz w:val="18"/>
                <w:szCs w:val="18"/>
                <w:lang w:val="nl-NL"/>
              </w:rPr>
              <w:t xml:space="preserve"> wordt voornamelijk rekening gehouden met maatschappelijk draagvlak en ruimtelijke inpassing, en minder met systeem efficiëntie en </w:t>
            </w:r>
            <w:r w:rsidR="00DC6259">
              <w:rPr>
                <w:rFonts w:ascii="Verdana" w:hAnsi="Verdana"/>
                <w:color w:val="auto"/>
                <w:sz w:val="18"/>
                <w:szCs w:val="18"/>
                <w:lang w:val="nl-NL"/>
              </w:rPr>
              <w:t>(als onderdeel daarvan) kostenefficiëntie</w:t>
            </w:r>
            <w:r w:rsidRPr="001A7C6D">
              <w:rPr>
                <w:rFonts w:ascii="Verdana" w:hAnsi="Verdana"/>
                <w:color w:val="auto"/>
                <w:sz w:val="18"/>
                <w:szCs w:val="18"/>
                <w:lang w:val="nl-NL"/>
              </w:rPr>
              <w:t>. Bovendien worden er maatschappelijke randvoorwaarden aan energie projecten verbonden, die weliswaar zorgen voor extra maatschappelijke waarden en daarmee draagvlak, maar zich ook vertalen in hogere projectkosten ten opzichte van wanneer dit niet wordt meegenomen. Met als effect dat deze projecten mogelijk SDE-subsidie mislopen omdat andere, meer efficiënte en vaak grootschalige projecten voorrang krijgen.</w:t>
            </w:r>
          </w:p>
          <w:p w14:paraId="52ECFF01" w14:textId="77777777" w:rsidR="00384C30" w:rsidRPr="001A7C6D" w:rsidRDefault="00384C30" w:rsidP="00D07EE3">
            <w:pPr>
              <w:pStyle w:val="Geenafstand"/>
              <w:rPr>
                <w:rFonts w:ascii="Verdana" w:hAnsi="Verdana"/>
                <w:color w:val="auto"/>
                <w:sz w:val="18"/>
                <w:szCs w:val="18"/>
                <w:lang w:val="nl-NL"/>
              </w:rPr>
            </w:pPr>
          </w:p>
          <w:p w14:paraId="57CE9EF1" w14:textId="3EB4547D" w:rsidR="004D3EFB" w:rsidRDefault="000D5767" w:rsidP="00D07EE3">
            <w:pPr>
              <w:pStyle w:val="Geenafstand"/>
              <w:rPr>
                <w:rFonts w:ascii="Verdana" w:hAnsi="Verdana"/>
                <w:color w:val="auto"/>
                <w:sz w:val="18"/>
                <w:szCs w:val="18"/>
                <w:lang w:val="nl-NL"/>
              </w:rPr>
            </w:pPr>
            <w:r w:rsidRPr="001A7C6D">
              <w:rPr>
                <w:rFonts w:ascii="Verdana" w:hAnsi="Verdana"/>
                <w:color w:val="auto"/>
                <w:sz w:val="18"/>
                <w:szCs w:val="18"/>
                <w:lang w:val="nl-NL"/>
              </w:rPr>
              <w:t xml:space="preserve">Het aanpassen van de SDE lijkt mogelijk, als </w:t>
            </w:r>
            <w:r w:rsidR="00272632">
              <w:rPr>
                <w:rFonts w:ascii="Verdana" w:hAnsi="Verdana"/>
                <w:color w:val="auto"/>
                <w:sz w:val="18"/>
                <w:szCs w:val="18"/>
                <w:lang w:val="nl-NL"/>
              </w:rPr>
              <w:t>Rijk en regio</w:t>
            </w:r>
            <w:r w:rsidRPr="001A7C6D">
              <w:rPr>
                <w:rFonts w:ascii="Verdana" w:hAnsi="Verdana"/>
                <w:color w:val="auto"/>
                <w:sz w:val="18"/>
                <w:szCs w:val="18"/>
                <w:lang w:val="nl-NL"/>
              </w:rPr>
              <w:t xml:space="preserve"> in gezamenlijkheid tot generieke, objectiveerbare minimumeisen kunnen komen. Waarbij bottom up</w:t>
            </w:r>
            <w:r w:rsidR="001A7C6D">
              <w:rPr>
                <w:rFonts w:ascii="Verdana" w:hAnsi="Verdana"/>
                <w:color w:val="auto"/>
                <w:sz w:val="18"/>
                <w:szCs w:val="18"/>
                <w:lang w:val="nl-NL"/>
              </w:rPr>
              <w:t xml:space="preserve"> </w:t>
            </w:r>
            <w:r w:rsidRPr="001A7C6D">
              <w:rPr>
                <w:rFonts w:ascii="Verdana" w:hAnsi="Verdana"/>
                <w:color w:val="auto"/>
                <w:sz w:val="18"/>
                <w:szCs w:val="18"/>
                <w:lang w:val="nl-NL"/>
              </w:rPr>
              <w:t>die elementen die spelen in alle regio’s</w:t>
            </w:r>
            <w:r w:rsidR="001A7C6D">
              <w:rPr>
                <w:rFonts w:ascii="Verdana" w:hAnsi="Verdana"/>
                <w:color w:val="auto"/>
                <w:sz w:val="18"/>
                <w:szCs w:val="18"/>
                <w:lang w:val="nl-NL"/>
              </w:rPr>
              <w:t>,</w:t>
            </w:r>
            <w:r w:rsidRPr="001A7C6D">
              <w:rPr>
                <w:rFonts w:ascii="Verdana" w:hAnsi="Verdana"/>
                <w:color w:val="auto"/>
                <w:sz w:val="18"/>
                <w:szCs w:val="18"/>
                <w:lang w:val="nl-NL"/>
              </w:rPr>
              <w:t xml:space="preserve"> worden vertaald naar generieke en objectiveerbare minimumeisen waardoor kwaliteit van het proces onderdeel wordt van de SDE. Regiospecifieke elementen vallen daar buiten en kunnen via een regiospecifiek budget (kwaliteitsbudget) mogelijk worden opgevangen. </w:t>
            </w:r>
            <w:r w:rsidR="00134104" w:rsidRPr="00D07EE3">
              <w:rPr>
                <w:rFonts w:ascii="Verdana" w:hAnsi="Verdana"/>
                <w:color w:val="auto"/>
                <w:sz w:val="18"/>
                <w:szCs w:val="18"/>
                <w:lang w:val="nl-NL"/>
              </w:rPr>
              <w:t>De vraag die we daarbij met elkaar moeten beantwoorden is hoe we tot een rechtvaardige rekening van de energietransitie en een betaalbare toekomst kunnen komen, met regionaal draagvlak en oog voor landschap.</w:t>
            </w:r>
          </w:p>
          <w:p w14:paraId="4C397566" w14:textId="1A9B6DC3" w:rsidR="001A7C6D" w:rsidRPr="004D3EFB" w:rsidRDefault="001A7C6D" w:rsidP="001A7C6D">
            <w:pPr>
              <w:pStyle w:val="Geenafstand"/>
              <w:jc w:val="both"/>
              <w:rPr>
                <w:rFonts w:cstheme="minorHAnsi"/>
                <w:bCs/>
                <w:lang w:val="nl-NL"/>
              </w:rPr>
            </w:pPr>
          </w:p>
        </w:tc>
      </w:tr>
      <w:tr w:rsidR="004D3EFB" w:rsidRPr="00782F50" w14:paraId="5D524105" w14:textId="77777777" w:rsidTr="004D3EFB">
        <w:tc>
          <w:tcPr>
            <w:tcW w:w="9632" w:type="dxa"/>
            <w:shd w:val="clear" w:color="auto" w:fill="D5DCE4" w:themeFill="text2" w:themeFillTint="33"/>
          </w:tcPr>
          <w:p w14:paraId="31BA90D0" w14:textId="21629121" w:rsidR="004D3EFB" w:rsidRPr="00782F50" w:rsidRDefault="004D3EFB" w:rsidP="004D3EFB">
            <w:pPr>
              <w:spacing w:line="240" w:lineRule="atLeast"/>
              <w:rPr>
                <w:rFonts w:cstheme="minorHAnsi"/>
                <w:b/>
                <w:bCs/>
                <w:i/>
              </w:rPr>
            </w:pPr>
            <w:proofErr w:type="spellStart"/>
            <w:r>
              <w:rPr>
                <w:rFonts w:cstheme="minorHAnsi"/>
                <w:i/>
              </w:rPr>
              <w:t>Prioritering</w:t>
            </w:r>
            <w:proofErr w:type="spellEnd"/>
            <w:r>
              <w:rPr>
                <w:rFonts w:cstheme="minorHAnsi"/>
                <w:i/>
              </w:rPr>
              <w:t xml:space="preserve"> </w:t>
            </w:r>
            <w:proofErr w:type="spellStart"/>
            <w:r>
              <w:rPr>
                <w:rFonts w:cstheme="minorHAnsi"/>
                <w:i/>
              </w:rPr>
              <w:t>en</w:t>
            </w:r>
            <w:proofErr w:type="spellEnd"/>
            <w:r>
              <w:rPr>
                <w:rFonts w:cstheme="minorHAnsi"/>
                <w:i/>
              </w:rPr>
              <w:t xml:space="preserve"> </w:t>
            </w:r>
            <w:proofErr w:type="spellStart"/>
            <w:r>
              <w:rPr>
                <w:rFonts w:cstheme="minorHAnsi"/>
                <w:i/>
              </w:rPr>
              <w:t>fasering</w:t>
            </w:r>
            <w:proofErr w:type="spellEnd"/>
          </w:p>
        </w:tc>
      </w:tr>
      <w:tr w:rsidR="004D3EFB" w:rsidRPr="0069528B" w14:paraId="6E63A46B"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1EF9436E" w14:textId="723845EE" w:rsidR="001A7C6D" w:rsidRPr="006876FD" w:rsidRDefault="001A7C6D" w:rsidP="006323EA">
            <w:pPr>
              <w:spacing w:line="240" w:lineRule="atLeast"/>
              <w:rPr>
                <w:lang w:val="nl-NL"/>
              </w:rPr>
            </w:pPr>
            <w:r w:rsidRPr="006876FD">
              <w:rPr>
                <w:lang w:val="nl-NL"/>
              </w:rPr>
              <w:t>NP RES stelt voor om, op basis van het advies van de werkgroep, op korte termijn de volgende stappen te zetten:</w:t>
            </w:r>
          </w:p>
          <w:p w14:paraId="73DFA76E" w14:textId="3BDAA655" w:rsidR="008A5934" w:rsidRPr="006876FD" w:rsidRDefault="008A5934" w:rsidP="001A7C6D">
            <w:pPr>
              <w:spacing w:line="240" w:lineRule="atLeast"/>
              <w:ind w:left="87"/>
              <w:rPr>
                <w:lang w:val="nl-NL"/>
              </w:rPr>
            </w:pPr>
          </w:p>
          <w:p w14:paraId="54F794D2" w14:textId="3514EE79" w:rsidR="00134104" w:rsidRPr="00F04FC3" w:rsidRDefault="006323EA" w:rsidP="00F04FC3">
            <w:pPr>
              <w:spacing w:line="240" w:lineRule="atLeast"/>
              <w:rPr>
                <w:lang w:val="nl-NL"/>
              </w:rPr>
            </w:pPr>
            <w:r w:rsidRPr="006876FD">
              <w:rPr>
                <w:lang w:val="nl-NL"/>
              </w:rPr>
              <w:t>Richting de formatietafel (door alle opdrachtgevende partijen)</w:t>
            </w:r>
          </w:p>
          <w:p w14:paraId="715E7118" w14:textId="4FD2B627" w:rsidR="006323EA" w:rsidRPr="006876FD" w:rsidRDefault="00F04FC3" w:rsidP="00D07EE3">
            <w:pPr>
              <w:pStyle w:val="Geenafstand"/>
              <w:numPr>
                <w:ilvl w:val="0"/>
                <w:numId w:val="24"/>
              </w:numPr>
              <w:ind w:left="447"/>
              <w:rPr>
                <w:rFonts w:ascii="Verdana" w:hAnsi="Verdana"/>
                <w:color w:val="auto"/>
                <w:sz w:val="18"/>
                <w:szCs w:val="18"/>
                <w:lang w:val="nl-NL"/>
              </w:rPr>
            </w:pPr>
            <w:r>
              <w:rPr>
                <w:rFonts w:ascii="Verdana" w:hAnsi="Verdana"/>
                <w:color w:val="auto"/>
                <w:sz w:val="18"/>
                <w:szCs w:val="18"/>
                <w:lang w:val="nl-NL"/>
              </w:rPr>
              <w:t xml:space="preserve">Maak het </w:t>
            </w:r>
            <w:r w:rsidRPr="00D07EE3">
              <w:rPr>
                <w:rFonts w:ascii="Verdana" w:hAnsi="Verdana"/>
                <w:color w:val="auto"/>
                <w:sz w:val="18"/>
                <w:szCs w:val="18"/>
                <w:lang w:val="nl-NL"/>
              </w:rPr>
              <w:t xml:space="preserve">mogelijk </w:t>
            </w:r>
            <w:r w:rsidR="004364E3">
              <w:rPr>
                <w:rFonts w:ascii="Verdana" w:hAnsi="Verdana"/>
                <w:color w:val="auto"/>
                <w:sz w:val="18"/>
                <w:szCs w:val="18"/>
                <w:lang w:val="nl-NL"/>
              </w:rPr>
              <w:t>om de verbonden kosten aan de maatschappelijke</w:t>
            </w:r>
            <w:r w:rsidR="004364E3" w:rsidRPr="00C40C55">
              <w:rPr>
                <w:rFonts w:ascii="Verdana" w:hAnsi="Verdana"/>
                <w:color w:val="auto"/>
                <w:sz w:val="18"/>
                <w:szCs w:val="18"/>
                <w:lang w:val="nl-NL"/>
              </w:rPr>
              <w:t xml:space="preserve"> minimumeisen </w:t>
            </w:r>
            <w:r w:rsidRPr="00D07EE3">
              <w:rPr>
                <w:rFonts w:ascii="Verdana" w:hAnsi="Verdana"/>
                <w:color w:val="auto"/>
                <w:sz w:val="18"/>
                <w:szCs w:val="18"/>
                <w:lang w:val="nl-NL"/>
              </w:rPr>
              <w:t xml:space="preserve">mee te nemen in de berekeningen van de benodigde subsidies voor de SDE. </w:t>
            </w:r>
            <w:r>
              <w:rPr>
                <w:rFonts w:ascii="Verdana" w:hAnsi="Verdana"/>
                <w:color w:val="auto"/>
                <w:sz w:val="18"/>
                <w:szCs w:val="18"/>
                <w:lang w:val="nl-NL"/>
              </w:rPr>
              <w:t xml:space="preserve">Hierbij is het van belang om voor de formatie in kaart te brengen </w:t>
            </w:r>
            <w:r w:rsidRPr="00D07EE3">
              <w:rPr>
                <w:rFonts w:ascii="Verdana" w:hAnsi="Verdana"/>
                <w:color w:val="auto"/>
                <w:sz w:val="18"/>
                <w:szCs w:val="18"/>
                <w:lang w:val="nl-NL"/>
              </w:rPr>
              <w:t xml:space="preserve">of deze generieke set aan minimumeisen gaat leiden tot substantiële meerkosten of dat het binnen de marge van de SDE valt. Als het om substantiële meerkosten gaat, dan </w:t>
            </w:r>
            <w:r>
              <w:rPr>
                <w:rFonts w:ascii="Verdana" w:hAnsi="Verdana"/>
                <w:color w:val="auto"/>
                <w:sz w:val="18"/>
                <w:szCs w:val="18"/>
                <w:lang w:val="nl-NL"/>
              </w:rPr>
              <w:t xml:space="preserve">dient dit </w:t>
            </w:r>
            <w:r w:rsidRPr="00D07EE3">
              <w:rPr>
                <w:rFonts w:ascii="Verdana" w:hAnsi="Verdana"/>
                <w:color w:val="auto"/>
                <w:sz w:val="18"/>
                <w:szCs w:val="18"/>
                <w:lang w:val="nl-NL"/>
              </w:rPr>
              <w:t xml:space="preserve"> mee</w:t>
            </w:r>
            <w:r>
              <w:rPr>
                <w:rFonts w:ascii="Verdana" w:hAnsi="Verdana"/>
                <w:color w:val="auto"/>
                <w:sz w:val="18"/>
                <w:szCs w:val="18"/>
                <w:lang w:val="nl-NL"/>
              </w:rPr>
              <w:t>genomen te worden</w:t>
            </w:r>
            <w:r w:rsidRPr="00D07EE3">
              <w:rPr>
                <w:rFonts w:ascii="Verdana" w:hAnsi="Verdana"/>
                <w:color w:val="auto"/>
                <w:sz w:val="18"/>
                <w:szCs w:val="18"/>
                <w:lang w:val="nl-NL"/>
              </w:rPr>
              <w:t xml:space="preserve"> richting de formatietafel.</w:t>
            </w:r>
          </w:p>
          <w:p w14:paraId="10B0DE90" w14:textId="1AE3E088" w:rsidR="006323EA" w:rsidRPr="006876FD" w:rsidRDefault="00F04FC3" w:rsidP="00D07EE3">
            <w:pPr>
              <w:pStyle w:val="Geenafstand"/>
              <w:numPr>
                <w:ilvl w:val="0"/>
                <w:numId w:val="24"/>
              </w:numPr>
              <w:ind w:left="447"/>
              <w:rPr>
                <w:rFonts w:ascii="Verdana" w:hAnsi="Verdana"/>
                <w:color w:val="auto"/>
                <w:sz w:val="18"/>
                <w:szCs w:val="18"/>
                <w:lang w:val="nl-NL"/>
              </w:rPr>
            </w:pPr>
            <w:r>
              <w:rPr>
                <w:rFonts w:ascii="Verdana" w:hAnsi="Verdana"/>
                <w:color w:val="auto"/>
                <w:sz w:val="18"/>
                <w:szCs w:val="18"/>
                <w:lang w:val="nl-NL"/>
              </w:rPr>
              <w:t>Verken de noodzaak van een RES-kwaliteitsbudget gericht op de financiering van de ‘extra onrendabele top’ die regionaal kan ontstaan door het verbinden van lokale maatschappelijke wensen aan projecten.</w:t>
            </w:r>
            <w:r w:rsidR="006323EA" w:rsidRPr="006876FD">
              <w:rPr>
                <w:rFonts w:ascii="Verdana" w:hAnsi="Verdana"/>
                <w:color w:val="auto"/>
                <w:sz w:val="18"/>
                <w:szCs w:val="18"/>
                <w:lang w:val="nl-NL"/>
              </w:rPr>
              <w:t xml:space="preserve"> Betrek hierbij een voorstel voor de bepaling van lokale en verdeling van de benodigde lokale aanvullende bijdrage tussen partijen. </w:t>
            </w:r>
          </w:p>
          <w:p w14:paraId="30E9B426" w14:textId="77777777" w:rsidR="006323EA" w:rsidRPr="006876FD" w:rsidRDefault="006323EA" w:rsidP="006323EA">
            <w:pPr>
              <w:pStyle w:val="Geenafstand"/>
              <w:ind w:left="720"/>
              <w:rPr>
                <w:rFonts w:ascii="Verdana" w:hAnsi="Verdana"/>
                <w:color w:val="auto"/>
                <w:sz w:val="18"/>
                <w:szCs w:val="18"/>
                <w:lang w:val="nl-NL"/>
              </w:rPr>
            </w:pPr>
          </w:p>
          <w:p w14:paraId="51ACE873" w14:textId="24A0281E" w:rsidR="006323EA" w:rsidRPr="006876FD" w:rsidRDefault="006323EA" w:rsidP="006323EA">
            <w:pPr>
              <w:spacing w:line="240" w:lineRule="atLeast"/>
              <w:rPr>
                <w:rFonts w:cstheme="minorHAnsi"/>
                <w:lang w:val="nl-NL"/>
              </w:rPr>
            </w:pPr>
            <w:r w:rsidRPr="006876FD">
              <w:rPr>
                <w:rFonts w:cstheme="minorHAnsi"/>
                <w:lang w:val="nl-NL"/>
              </w:rPr>
              <w:t>Door het OGB</w:t>
            </w:r>
            <w:r w:rsidR="00D07EE3">
              <w:rPr>
                <w:rFonts w:cstheme="minorHAnsi"/>
                <w:lang w:val="nl-NL"/>
              </w:rPr>
              <w:t xml:space="preserve"> (departementen en koepels) en netbeheerders</w:t>
            </w:r>
          </w:p>
          <w:p w14:paraId="02D1649A" w14:textId="0F5AFF06" w:rsidR="00E9470A" w:rsidRDefault="00E9470A" w:rsidP="00D07EE3">
            <w:pPr>
              <w:pStyle w:val="Geenafstand"/>
              <w:numPr>
                <w:ilvl w:val="0"/>
                <w:numId w:val="25"/>
              </w:numPr>
              <w:ind w:left="447"/>
              <w:rPr>
                <w:rFonts w:ascii="Verdana" w:hAnsi="Verdana"/>
                <w:color w:val="auto"/>
                <w:sz w:val="18"/>
                <w:szCs w:val="18"/>
                <w:lang w:val="nl-NL"/>
              </w:rPr>
            </w:pPr>
            <w:r w:rsidRPr="003164ED">
              <w:rPr>
                <w:rFonts w:ascii="Verdana" w:hAnsi="Verdana"/>
                <w:color w:val="auto"/>
                <w:sz w:val="18"/>
                <w:szCs w:val="18"/>
                <w:lang w:val="nl-NL"/>
              </w:rPr>
              <w:t xml:space="preserve">Bepaal als RES-regio’s welke generieke, objectiveerbare, regio-gedragen minimumeisen je aan de projecten voor wind, zon op land en zon op dak wilt stellen (vast te leggen in omgevingsprogramma's) en pas de SDE hierop aan. </w:t>
            </w:r>
            <w:r w:rsidR="00564280">
              <w:rPr>
                <w:rFonts w:ascii="Verdana" w:hAnsi="Verdana"/>
                <w:color w:val="auto"/>
                <w:sz w:val="18"/>
                <w:szCs w:val="18"/>
                <w:lang w:val="nl-NL"/>
              </w:rPr>
              <w:t xml:space="preserve">Hierbij kan ook gekeken worden naar de warmteopgave. </w:t>
            </w:r>
            <w:r w:rsidR="00D32B4C" w:rsidRPr="00D32B4C">
              <w:rPr>
                <w:rFonts w:ascii="Verdana" w:hAnsi="Verdana"/>
                <w:color w:val="auto"/>
                <w:sz w:val="18"/>
                <w:szCs w:val="18"/>
                <w:lang w:val="nl-NL"/>
              </w:rPr>
              <w:t>Bijvoorbeeld de voorkeur voor warmtenetten voor een alternatieve warmtevoorziening.</w:t>
            </w:r>
          </w:p>
          <w:p w14:paraId="6EE808FB" w14:textId="18D88B63" w:rsidR="008A5934" w:rsidRPr="006876FD" w:rsidRDefault="004C7E4F" w:rsidP="00D07EE3">
            <w:pPr>
              <w:pStyle w:val="Geenafstand"/>
              <w:numPr>
                <w:ilvl w:val="0"/>
                <w:numId w:val="25"/>
              </w:numPr>
              <w:ind w:left="447"/>
              <w:rPr>
                <w:rFonts w:ascii="Verdana" w:hAnsi="Verdana"/>
                <w:color w:val="auto"/>
                <w:sz w:val="18"/>
                <w:szCs w:val="18"/>
                <w:lang w:val="nl-NL"/>
              </w:rPr>
            </w:pPr>
            <w:r>
              <w:rPr>
                <w:rFonts w:ascii="Verdana" w:hAnsi="Verdana"/>
                <w:color w:val="auto"/>
                <w:sz w:val="18"/>
                <w:szCs w:val="18"/>
                <w:lang w:val="nl-NL"/>
              </w:rPr>
              <w:t>Richt onder</w:t>
            </w:r>
            <w:r w:rsidR="008A5934" w:rsidRPr="006876FD">
              <w:rPr>
                <w:rFonts w:ascii="Verdana" w:hAnsi="Verdana"/>
                <w:color w:val="auto"/>
                <w:sz w:val="18"/>
                <w:szCs w:val="18"/>
                <w:lang w:val="nl-NL"/>
              </w:rPr>
              <w:t xml:space="preserve"> vast te stellen randvoorwaarden binnen de SDE een specifieke categorie in voor windprojecten met kleinere molens op locaties indien dit bij draagt aan een hoger aandeel wind op land. </w:t>
            </w:r>
          </w:p>
          <w:p w14:paraId="27BF318E" w14:textId="43AC04A8" w:rsidR="008A5934" w:rsidRDefault="008A5934" w:rsidP="00D07EE3">
            <w:pPr>
              <w:pStyle w:val="Geenafstand"/>
              <w:numPr>
                <w:ilvl w:val="0"/>
                <w:numId w:val="25"/>
              </w:numPr>
              <w:ind w:left="447"/>
              <w:rPr>
                <w:rFonts w:ascii="Verdana" w:hAnsi="Verdana"/>
                <w:color w:val="auto"/>
                <w:sz w:val="18"/>
                <w:szCs w:val="18"/>
                <w:lang w:val="nl-NL"/>
              </w:rPr>
            </w:pPr>
            <w:r w:rsidRPr="006876FD">
              <w:rPr>
                <w:rFonts w:ascii="Verdana" w:hAnsi="Verdana"/>
                <w:color w:val="auto"/>
                <w:sz w:val="18"/>
                <w:szCs w:val="18"/>
                <w:lang w:val="nl-NL"/>
              </w:rPr>
              <w:t xml:space="preserve">Verleng binnen de SDE de realisatietermijn voor zon-op-dak projecten. Hierdoor ontstaat meer ruimte voor de netbeheerder om voldoende netcapaciteit te realiseren. </w:t>
            </w:r>
          </w:p>
          <w:p w14:paraId="393B8390" w14:textId="241013F8" w:rsidR="00D261DB" w:rsidRPr="006876FD" w:rsidRDefault="00D261DB" w:rsidP="00D07EE3">
            <w:pPr>
              <w:pStyle w:val="Geenafstand"/>
              <w:numPr>
                <w:ilvl w:val="0"/>
                <w:numId w:val="25"/>
              </w:numPr>
              <w:ind w:left="447"/>
              <w:rPr>
                <w:rFonts w:ascii="Verdana" w:hAnsi="Verdana"/>
                <w:color w:val="auto"/>
                <w:sz w:val="18"/>
                <w:szCs w:val="18"/>
                <w:lang w:val="nl-NL"/>
              </w:rPr>
            </w:pPr>
            <w:r w:rsidRPr="006876FD">
              <w:rPr>
                <w:rFonts w:ascii="Verdana" w:hAnsi="Verdana"/>
                <w:color w:val="auto"/>
                <w:sz w:val="18"/>
                <w:szCs w:val="18"/>
                <w:lang w:val="nl-NL"/>
              </w:rPr>
              <w:t>Voer bij de vertaalslag van zoekgebieden naar projecten in het omgevingsprogramma een betaalbaarheidstoets in en neem de financiering daarin mee, zowel vanuit de SDE++ als eventueel aanvullende</w:t>
            </w:r>
            <w:r>
              <w:rPr>
                <w:rFonts w:ascii="Verdana" w:hAnsi="Verdana"/>
                <w:color w:val="auto"/>
                <w:sz w:val="18"/>
                <w:szCs w:val="18"/>
                <w:lang w:val="nl-NL"/>
              </w:rPr>
              <w:t xml:space="preserve"> regelingen.</w:t>
            </w:r>
          </w:p>
          <w:p w14:paraId="3D96AEEC" w14:textId="77777777" w:rsidR="001536EB" w:rsidRPr="00D261DB" w:rsidRDefault="001536EB" w:rsidP="006323EA">
            <w:pPr>
              <w:pStyle w:val="Geenafstand"/>
              <w:rPr>
                <w:rFonts w:ascii="Verdana" w:hAnsi="Verdana" w:cstheme="minorHAnsi"/>
                <w:sz w:val="18"/>
                <w:szCs w:val="18"/>
                <w:lang w:val="nl-NL"/>
              </w:rPr>
            </w:pPr>
          </w:p>
          <w:p w14:paraId="0F75D380" w14:textId="36F53753" w:rsidR="00D07EE3" w:rsidRPr="00D261DB" w:rsidRDefault="00D07EE3" w:rsidP="006323EA">
            <w:pPr>
              <w:pStyle w:val="Geenafstand"/>
              <w:rPr>
                <w:rFonts w:ascii="Verdana" w:hAnsi="Verdana" w:cstheme="minorHAnsi"/>
                <w:sz w:val="18"/>
                <w:szCs w:val="18"/>
                <w:lang w:val="nl-NL"/>
              </w:rPr>
            </w:pPr>
            <w:r w:rsidRPr="00D261DB">
              <w:rPr>
                <w:rFonts w:ascii="Verdana" w:hAnsi="Verdana" w:cstheme="minorHAnsi"/>
                <w:sz w:val="18"/>
                <w:szCs w:val="18"/>
                <w:lang w:val="nl-NL"/>
              </w:rPr>
              <w:t>Door de regio’s</w:t>
            </w:r>
          </w:p>
          <w:p w14:paraId="78582B4A" w14:textId="67B52CCC" w:rsidR="00D07EE3" w:rsidRPr="00D261DB" w:rsidRDefault="00D07EE3" w:rsidP="00D07EE3">
            <w:pPr>
              <w:pStyle w:val="Geenafstand"/>
              <w:numPr>
                <w:ilvl w:val="0"/>
                <w:numId w:val="26"/>
              </w:numPr>
              <w:ind w:left="447"/>
              <w:rPr>
                <w:rFonts w:ascii="Verdana" w:hAnsi="Verdana" w:cstheme="minorHAnsi"/>
                <w:sz w:val="18"/>
                <w:szCs w:val="18"/>
                <w:lang w:val="nl-NL"/>
              </w:rPr>
            </w:pPr>
            <w:r w:rsidRPr="00D261DB">
              <w:rPr>
                <w:rFonts w:ascii="Verdana" w:hAnsi="Verdana"/>
                <w:color w:val="auto"/>
                <w:sz w:val="18"/>
                <w:szCs w:val="18"/>
                <w:lang w:val="nl-NL"/>
              </w:rPr>
              <w:t xml:space="preserve">Stel in gezamenlijkheid generieke, objectiveerbare, minimumeisen op, die in alle regio's aan de projecten voor wind, zon op land en zon op dak worden gesteld en leg deze vast in de omgevingsprogramma’s. </w:t>
            </w:r>
          </w:p>
          <w:p w14:paraId="65549615" w14:textId="7827A5C9" w:rsidR="00724DB5" w:rsidRPr="00D261DB" w:rsidRDefault="00724DB5" w:rsidP="00D261DB">
            <w:pPr>
              <w:pStyle w:val="Geenafstand"/>
              <w:numPr>
                <w:ilvl w:val="0"/>
                <w:numId w:val="26"/>
              </w:numPr>
              <w:ind w:left="447"/>
              <w:rPr>
                <w:rFonts w:ascii="Verdana" w:hAnsi="Verdana" w:cstheme="minorHAnsi"/>
                <w:sz w:val="18"/>
                <w:szCs w:val="18"/>
                <w:lang w:val="nl-NL"/>
              </w:rPr>
            </w:pPr>
            <w:r w:rsidRPr="00D261DB">
              <w:rPr>
                <w:rFonts w:ascii="Verdana" w:hAnsi="Verdana"/>
                <w:color w:val="auto"/>
                <w:sz w:val="18"/>
                <w:szCs w:val="18"/>
                <w:lang w:val="nl-NL"/>
              </w:rPr>
              <w:t xml:space="preserve">Werk de netimpact van grootschalig zon-op-dak verder uit met een borgingsinstrument en maak deze onderdeel van de regionale en integrale programmering. De netimpact van grootschalig zon-op-dak moet onderdeel worden van de regionale en integrale programmering. De wijze waarop moet nog verder uitgewerkt worden. Belangrijk aandachtspunt hierbij is in ieder geval het tijdig kunnen anticiperen op de benodigde aansluiting van deze installaties op het </w:t>
            </w:r>
            <w:proofErr w:type="spellStart"/>
            <w:r w:rsidRPr="00D261DB">
              <w:rPr>
                <w:rFonts w:ascii="Verdana" w:hAnsi="Verdana"/>
                <w:color w:val="auto"/>
                <w:sz w:val="18"/>
                <w:szCs w:val="18"/>
                <w:lang w:val="nl-NL"/>
              </w:rPr>
              <w:t>middenspanningsnet</w:t>
            </w:r>
            <w:proofErr w:type="spellEnd"/>
            <w:r w:rsidRPr="00D261DB">
              <w:rPr>
                <w:rFonts w:ascii="Verdana" w:hAnsi="Verdana"/>
                <w:color w:val="auto"/>
                <w:sz w:val="18"/>
                <w:szCs w:val="18"/>
                <w:lang w:val="nl-NL"/>
              </w:rPr>
              <w:t>. Juist ook omdat zon op-dak niet vergunning plichtig is.</w:t>
            </w:r>
          </w:p>
          <w:p w14:paraId="43B5ED08" w14:textId="77777777" w:rsidR="00D07EE3" w:rsidRDefault="00D07EE3" w:rsidP="006323EA">
            <w:pPr>
              <w:pStyle w:val="Geenafstand"/>
              <w:rPr>
                <w:rFonts w:cstheme="minorHAnsi"/>
                <w:lang w:val="nl-NL"/>
              </w:rPr>
            </w:pPr>
          </w:p>
          <w:p w14:paraId="524EDCE2" w14:textId="77777777" w:rsidR="00D261DB" w:rsidRDefault="00D261DB" w:rsidP="006323EA">
            <w:pPr>
              <w:pStyle w:val="Geenafstand"/>
              <w:rPr>
                <w:rFonts w:cstheme="minorHAnsi"/>
                <w:lang w:val="nl-NL"/>
              </w:rPr>
            </w:pPr>
          </w:p>
          <w:p w14:paraId="32512776" w14:textId="367CBE77" w:rsidR="00D261DB" w:rsidRPr="005E1FB8" w:rsidRDefault="00D261DB" w:rsidP="006323EA">
            <w:pPr>
              <w:pStyle w:val="Geenafstand"/>
              <w:rPr>
                <w:rFonts w:cstheme="minorHAnsi"/>
                <w:lang w:val="nl-NL"/>
              </w:rPr>
            </w:pPr>
          </w:p>
        </w:tc>
      </w:tr>
      <w:tr w:rsidR="004D3EFB" w:rsidRPr="00384C30" w14:paraId="5AB7E571" w14:textId="77777777" w:rsidTr="004D3EFB">
        <w:tc>
          <w:tcPr>
            <w:tcW w:w="9632" w:type="dxa"/>
            <w:shd w:val="clear" w:color="auto" w:fill="D5DCE4" w:themeFill="text2" w:themeFillTint="33"/>
          </w:tcPr>
          <w:p w14:paraId="7FA792CE" w14:textId="45F53725" w:rsidR="004D3EFB" w:rsidRPr="004D3EFB" w:rsidRDefault="001A7C6D" w:rsidP="004D3EFB">
            <w:pPr>
              <w:spacing w:line="240" w:lineRule="atLeast"/>
              <w:rPr>
                <w:rFonts w:cstheme="minorHAnsi"/>
                <w:i/>
                <w:lang w:val="nl-NL"/>
              </w:rPr>
            </w:pPr>
            <w:r>
              <w:rPr>
                <w:rFonts w:cstheme="minorHAnsi"/>
                <w:i/>
                <w:lang w:val="nl-NL"/>
              </w:rPr>
              <w:lastRenderedPageBreak/>
              <w:t>Reeds genomen besluiten</w:t>
            </w:r>
          </w:p>
        </w:tc>
      </w:tr>
      <w:tr w:rsidR="004D3EFB" w:rsidRPr="0069528B" w14:paraId="0AA0845B" w14:textId="77777777" w:rsidTr="005C3678">
        <w:trPr>
          <w:cnfStyle w:val="000000100000" w:firstRow="0" w:lastRow="0" w:firstColumn="0" w:lastColumn="0" w:oddVBand="0" w:evenVBand="0" w:oddHBand="1" w:evenHBand="0" w:firstRowFirstColumn="0" w:firstRowLastColumn="0" w:lastRowFirstColumn="0" w:lastRowLastColumn="0"/>
          <w:trHeight w:val="953"/>
        </w:trPr>
        <w:tc>
          <w:tcPr>
            <w:tcW w:w="9632" w:type="dxa"/>
          </w:tcPr>
          <w:p w14:paraId="7AFD7558" w14:textId="092E4C05" w:rsidR="004D3EFB" w:rsidRDefault="004C7E4F" w:rsidP="004D3EFB">
            <w:pPr>
              <w:spacing w:line="240" w:lineRule="auto"/>
              <w:rPr>
                <w:lang w:val="nl-NL"/>
              </w:rPr>
            </w:pPr>
            <w:r>
              <w:rPr>
                <w:rFonts w:cstheme="minorHAnsi"/>
                <w:bCs/>
                <w:lang w:val="nl-NL"/>
              </w:rPr>
              <w:t>Versterk de sturing vanuit de RES: w</w:t>
            </w:r>
            <w:r w:rsidRPr="00D07EE3">
              <w:rPr>
                <w:lang w:val="nl-NL"/>
              </w:rPr>
              <w:t>erk de afspraken over regionale en integrale programmering verder uit en leg deze vast in een RES-omgevingsprogramma.</w:t>
            </w:r>
            <w:r>
              <w:rPr>
                <w:lang w:val="nl-NL"/>
              </w:rPr>
              <w:t xml:space="preserve"> </w:t>
            </w:r>
            <w:r w:rsidRPr="00D07EE3">
              <w:rPr>
                <w:lang w:val="nl-NL"/>
              </w:rPr>
              <w:t>Werk de netimpact van grootschalig zon-op-dak verder uit met een borgingsinstrument en maak deze onderdeel van de regionale en integrale programmering.</w:t>
            </w:r>
          </w:p>
          <w:p w14:paraId="50270D58" w14:textId="77777777" w:rsidR="004C7E4F" w:rsidRPr="004C7E4F" w:rsidRDefault="004C7E4F" w:rsidP="004D3EFB">
            <w:pPr>
              <w:spacing w:line="240" w:lineRule="auto"/>
              <w:rPr>
                <w:rFonts w:cstheme="minorHAnsi"/>
                <w:bCs/>
                <w:lang w:val="nl-NL"/>
              </w:rPr>
            </w:pPr>
          </w:p>
          <w:p w14:paraId="37886243" w14:textId="419731C7" w:rsidR="005E1FB8" w:rsidRDefault="005E1FB8" w:rsidP="001A7C6D">
            <w:pPr>
              <w:spacing w:line="240" w:lineRule="auto"/>
              <w:rPr>
                <w:rFonts w:cs="Calibri"/>
                <w:szCs w:val="18"/>
                <w:lang w:val="nl-NL"/>
              </w:rPr>
            </w:pPr>
            <w:r w:rsidRPr="005E1FB8">
              <w:rPr>
                <w:rFonts w:cs="Calibri"/>
                <w:szCs w:val="18"/>
                <w:lang w:val="nl-NL"/>
              </w:rPr>
              <w:t xml:space="preserve">Verzoek het PBL op basis van de huidige </w:t>
            </w:r>
            <w:proofErr w:type="spellStart"/>
            <w:r w:rsidRPr="005E1FB8">
              <w:rPr>
                <w:rFonts w:cs="Calibri"/>
                <w:szCs w:val="18"/>
                <w:lang w:val="nl-NL"/>
              </w:rPr>
              <w:t>RES’en</w:t>
            </w:r>
            <w:proofErr w:type="spellEnd"/>
            <w:r w:rsidRPr="005E1FB8">
              <w:rPr>
                <w:rFonts w:cs="Calibri"/>
                <w:szCs w:val="18"/>
                <w:lang w:val="nl-NL"/>
              </w:rPr>
              <w:t xml:space="preserve"> en de Wind op Land Monitor te analyseren welke projectomvang te verwachten is en bezien of het bij de doorrekening van de projectkosten voor wind op land al uit kan gaan van een referentieproject dat meer aansluit bij de te verwachte gemiddelde projectomvang (inschatting: 10-20 MW) i.p.v. 50 MW.</w:t>
            </w:r>
          </w:p>
          <w:p w14:paraId="605D8006" w14:textId="5D15FBFE" w:rsidR="005E1FB8" w:rsidRDefault="005E1FB8" w:rsidP="001A7C6D">
            <w:pPr>
              <w:spacing w:line="240" w:lineRule="auto"/>
              <w:rPr>
                <w:rFonts w:cstheme="minorHAnsi"/>
                <w:bCs/>
                <w:lang w:val="nl-NL"/>
              </w:rPr>
            </w:pPr>
          </w:p>
          <w:p w14:paraId="2F712746" w14:textId="4CCADAFA" w:rsidR="005E1FB8" w:rsidRPr="005E1FB8" w:rsidRDefault="005E1FB8" w:rsidP="001A7C6D">
            <w:pPr>
              <w:spacing w:line="240" w:lineRule="auto"/>
              <w:rPr>
                <w:rFonts w:cs="Calibri"/>
                <w:szCs w:val="18"/>
                <w:lang w:val="nl-NL"/>
              </w:rPr>
            </w:pPr>
            <w:r w:rsidRPr="005E1FB8">
              <w:rPr>
                <w:rFonts w:cs="Calibri"/>
                <w:szCs w:val="18"/>
                <w:lang w:val="nl-NL"/>
              </w:rPr>
              <w:t>Onderzoek op welke wijze uitgestelde levering (m.b.t. opslag) of opwek en verbruik op zelfde aansluiting financieel gestimuleerd kan worden in de SDE.</w:t>
            </w:r>
          </w:p>
          <w:p w14:paraId="1D3F977E" w14:textId="77777777" w:rsidR="005E1FB8" w:rsidRPr="005E1FB8" w:rsidRDefault="005E1FB8" w:rsidP="001A7C6D">
            <w:pPr>
              <w:spacing w:line="240" w:lineRule="auto"/>
              <w:rPr>
                <w:rFonts w:cstheme="minorHAnsi"/>
                <w:bCs/>
                <w:lang w:val="nl-NL"/>
              </w:rPr>
            </w:pPr>
          </w:p>
          <w:p w14:paraId="5B2733E2" w14:textId="77777777" w:rsidR="001A7C6D" w:rsidRDefault="0036071A" w:rsidP="0036071A">
            <w:pPr>
              <w:spacing w:line="240" w:lineRule="auto"/>
              <w:rPr>
                <w:rFonts w:cstheme="minorHAnsi"/>
                <w:bCs/>
                <w:lang w:val="nl-NL"/>
              </w:rPr>
            </w:pPr>
            <w:r>
              <w:rPr>
                <w:rFonts w:cstheme="minorHAnsi"/>
                <w:bCs/>
                <w:lang w:val="nl-NL"/>
              </w:rPr>
              <w:t>Het</w:t>
            </w:r>
            <w:r w:rsidR="001A7C6D">
              <w:rPr>
                <w:rFonts w:cstheme="minorHAnsi"/>
                <w:bCs/>
                <w:lang w:val="nl-NL"/>
              </w:rPr>
              <w:t xml:space="preserve"> vervolg van de </w:t>
            </w:r>
            <w:r w:rsidR="00F04FC3">
              <w:rPr>
                <w:rFonts w:cstheme="minorHAnsi"/>
                <w:bCs/>
                <w:lang w:val="nl-NL"/>
              </w:rPr>
              <w:t>werkgroep</w:t>
            </w:r>
            <w:r w:rsidR="001A7C6D">
              <w:rPr>
                <w:rFonts w:cstheme="minorHAnsi"/>
                <w:bCs/>
                <w:lang w:val="nl-NL"/>
              </w:rPr>
              <w:t xml:space="preserve"> SDE en maatschappelijke kosten</w:t>
            </w:r>
            <w:r w:rsidR="005E1FB8">
              <w:rPr>
                <w:rFonts w:cstheme="minorHAnsi"/>
                <w:bCs/>
                <w:lang w:val="nl-NL"/>
              </w:rPr>
              <w:t xml:space="preserve"> die de maatschappelijke minimumeisen aan de SDE en het kwaliteitsbudget verder uitwerkt. </w:t>
            </w:r>
          </w:p>
          <w:p w14:paraId="2509F8F5" w14:textId="7EB404C0" w:rsidR="0036071A" w:rsidRPr="0036071A" w:rsidRDefault="0036071A" w:rsidP="0036071A">
            <w:pPr>
              <w:spacing w:line="240" w:lineRule="auto"/>
              <w:rPr>
                <w:rFonts w:cstheme="minorHAnsi"/>
                <w:bCs/>
                <w:lang w:val="nl-NL"/>
              </w:rPr>
            </w:pPr>
          </w:p>
        </w:tc>
      </w:tr>
      <w:tr w:rsidR="001A7C6D" w:rsidRPr="0069528B" w14:paraId="194D8414" w14:textId="77777777" w:rsidTr="001A7C6D">
        <w:tc>
          <w:tcPr>
            <w:tcW w:w="9632" w:type="dxa"/>
            <w:shd w:val="clear" w:color="auto" w:fill="D5DCE4" w:themeFill="text2" w:themeFillTint="33"/>
          </w:tcPr>
          <w:p w14:paraId="06983C4A" w14:textId="2AB52D46" w:rsidR="001A7C6D" w:rsidRPr="001A7C6D" w:rsidRDefault="0071022D" w:rsidP="001A7C6D">
            <w:pPr>
              <w:spacing w:line="240" w:lineRule="atLeast"/>
              <w:rPr>
                <w:rFonts w:cstheme="minorHAnsi"/>
                <w:iCs/>
                <w:lang w:val="nl-NL"/>
              </w:rPr>
            </w:pPr>
            <w:r>
              <w:rPr>
                <w:rFonts w:cstheme="minorHAnsi"/>
                <w:i/>
                <w:lang w:val="nl-NL"/>
              </w:rPr>
              <w:t xml:space="preserve">Ambassadeurs vanuit het </w:t>
            </w:r>
            <w:proofErr w:type="spellStart"/>
            <w:r>
              <w:rPr>
                <w:rFonts w:cstheme="minorHAnsi"/>
                <w:i/>
                <w:lang w:val="nl-NL"/>
              </w:rPr>
              <w:t>opdrachtgevend</w:t>
            </w:r>
            <w:proofErr w:type="spellEnd"/>
            <w:r>
              <w:rPr>
                <w:rFonts w:cstheme="minorHAnsi"/>
                <w:i/>
                <w:lang w:val="nl-NL"/>
              </w:rPr>
              <w:t xml:space="preserve"> beraad</w:t>
            </w:r>
          </w:p>
        </w:tc>
      </w:tr>
      <w:tr w:rsidR="001A7C6D" w:rsidRPr="0069528B" w14:paraId="40F2A896" w14:textId="77777777" w:rsidTr="005C3678">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0C54354A" w14:textId="5405EA22" w:rsidR="00D261DB" w:rsidRDefault="00D261DB" w:rsidP="00D261DB">
            <w:pPr>
              <w:spacing w:line="240" w:lineRule="atLeast"/>
              <w:rPr>
                <w:rFonts w:cstheme="minorHAnsi"/>
                <w:iCs/>
                <w:lang w:val="nl-NL"/>
              </w:rPr>
            </w:pPr>
            <w:r>
              <w:rPr>
                <w:rFonts w:cstheme="minorHAnsi"/>
                <w:iCs/>
                <w:lang w:val="nl-NL"/>
              </w:rPr>
              <w:t>NP RES stelt voor de coördinatie van de adviezen SDE en maatschappelijke kosten bij Sandor Gaastra  (Rijk) en Albert  Vermue VNG (decentrale overheden) neer te leggen.</w:t>
            </w:r>
          </w:p>
          <w:p w14:paraId="5AEC93E5" w14:textId="76FABDE7" w:rsidR="001A7C6D" w:rsidRPr="006323EA" w:rsidRDefault="001A7C6D" w:rsidP="001A7C6D">
            <w:pPr>
              <w:spacing w:line="240" w:lineRule="atLeast"/>
              <w:rPr>
                <w:rFonts w:cstheme="minorHAnsi"/>
                <w:iCs/>
                <w:lang w:val="nl-NL"/>
              </w:rPr>
            </w:pPr>
          </w:p>
        </w:tc>
      </w:tr>
    </w:tbl>
    <w:p w14:paraId="29A68C33" w14:textId="77777777" w:rsidR="00863AFC" w:rsidRPr="00863AFC" w:rsidRDefault="00863AFC" w:rsidP="00BF2E59">
      <w:pPr>
        <w:pStyle w:val="Geenafstand"/>
        <w:jc w:val="both"/>
        <w:rPr>
          <w:lang w:val="nl-NL"/>
        </w:rPr>
      </w:pPr>
    </w:p>
    <w:p w14:paraId="7FCBB3E0" w14:textId="49439811" w:rsidR="00645209" w:rsidRPr="00645209" w:rsidRDefault="00645209" w:rsidP="00645209">
      <w:pPr>
        <w:pStyle w:val="Geenafstand"/>
        <w:rPr>
          <w:rFonts w:ascii="Verdana" w:hAnsi="Verdana"/>
          <w:b/>
          <w:bCs/>
          <w:sz w:val="18"/>
          <w:szCs w:val="18"/>
          <w:lang w:val="nl-NL"/>
        </w:rPr>
      </w:pPr>
    </w:p>
    <w:sectPr w:rsidR="00645209" w:rsidRPr="00645209" w:rsidSect="004D3EF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Light">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C2C"/>
    <w:multiLevelType w:val="hybridMultilevel"/>
    <w:tmpl w:val="955C5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6E3627"/>
    <w:multiLevelType w:val="hybridMultilevel"/>
    <w:tmpl w:val="A686D242"/>
    <w:lvl w:ilvl="0" w:tplc="E5FCB7A4">
      <w:numFmt w:val="bullet"/>
      <w:lvlText w:val="-"/>
      <w:lvlJc w:val="left"/>
      <w:pPr>
        <w:ind w:left="720" w:hanging="360"/>
      </w:pPr>
      <w:rPr>
        <w:rFonts w:ascii="Roboto Light" w:eastAsiaTheme="minorHAnsi" w:hAnsi="Roboto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7578C7"/>
    <w:multiLevelType w:val="hybridMultilevel"/>
    <w:tmpl w:val="1A92AFEC"/>
    <w:lvl w:ilvl="0" w:tplc="B2CA65A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8E7C56"/>
    <w:multiLevelType w:val="hybridMultilevel"/>
    <w:tmpl w:val="1A92AFEC"/>
    <w:lvl w:ilvl="0" w:tplc="B2CA65A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897DEB"/>
    <w:multiLevelType w:val="hybridMultilevel"/>
    <w:tmpl w:val="B7582E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A26001"/>
    <w:multiLevelType w:val="hybridMultilevel"/>
    <w:tmpl w:val="F75669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F5047DD"/>
    <w:multiLevelType w:val="hybridMultilevel"/>
    <w:tmpl w:val="7C4CF71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FF052A"/>
    <w:multiLevelType w:val="hybridMultilevel"/>
    <w:tmpl w:val="7C4CF71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7B5EC0"/>
    <w:multiLevelType w:val="hybridMultilevel"/>
    <w:tmpl w:val="8D0A5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2E1AA2"/>
    <w:multiLevelType w:val="hybridMultilevel"/>
    <w:tmpl w:val="EC0E7902"/>
    <w:lvl w:ilvl="0" w:tplc="8F2611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C46068"/>
    <w:multiLevelType w:val="hybridMultilevel"/>
    <w:tmpl w:val="7A581E0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FD41DF"/>
    <w:multiLevelType w:val="hybridMultilevel"/>
    <w:tmpl w:val="8F5C3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BE0CB0"/>
    <w:multiLevelType w:val="hybridMultilevel"/>
    <w:tmpl w:val="FA426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1B5AE2"/>
    <w:multiLevelType w:val="hybridMultilevel"/>
    <w:tmpl w:val="926CA96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8C5650"/>
    <w:multiLevelType w:val="hybridMultilevel"/>
    <w:tmpl w:val="B308E2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014F60"/>
    <w:multiLevelType w:val="hybridMultilevel"/>
    <w:tmpl w:val="53AC77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0D774F3"/>
    <w:multiLevelType w:val="hybridMultilevel"/>
    <w:tmpl w:val="D12862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7821BF"/>
    <w:multiLevelType w:val="hybridMultilevel"/>
    <w:tmpl w:val="CCF0A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8A5237"/>
    <w:multiLevelType w:val="hybridMultilevel"/>
    <w:tmpl w:val="AC5E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372203"/>
    <w:multiLevelType w:val="hybridMultilevel"/>
    <w:tmpl w:val="0A5E1B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0C2801"/>
    <w:multiLevelType w:val="hybridMultilevel"/>
    <w:tmpl w:val="15AA618E"/>
    <w:lvl w:ilvl="0" w:tplc="8F2611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303A66"/>
    <w:multiLevelType w:val="hybridMultilevel"/>
    <w:tmpl w:val="645ECF90"/>
    <w:lvl w:ilvl="0" w:tplc="04130011">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1F1D51"/>
    <w:multiLevelType w:val="hybridMultilevel"/>
    <w:tmpl w:val="E732F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A3473A"/>
    <w:multiLevelType w:val="hybridMultilevel"/>
    <w:tmpl w:val="A120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A936A8"/>
    <w:multiLevelType w:val="hybridMultilevel"/>
    <w:tmpl w:val="07B2AA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BB065C3"/>
    <w:multiLevelType w:val="hybridMultilevel"/>
    <w:tmpl w:val="5F56FCD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A024C"/>
    <w:multiLevelType w:val="hybridMultilevel"/>
    <w:tmpl w:val="C792D3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3"/>
  </w:num>
  <w:num w:numId="5">
    <w:abstractNumId w:val="0"/>
  </w:num>
  <w:num w:numId="6">
    <w:abstractNumId w:val="18"/>
  </w:num>
  <w:num w:numId="7">
    <w:abstractNumId w:val="22"/>
  </w:num>
  <w:num w:numId="8">
    <w:abstractNumId w:val="12"/>
  </w:num>
  <w:num w:numId="9">
    <w:abstractNumId w:val="25"/>
  </w:num>
  <w:num w:numId="10">
    <w:abstractNumId w:val="19"/>
  </w:num>
  <w:num w:numId="11">
    <w:abstractNumId w:val="6"/>
  </w:num>
  <w:num w:numId="12">
    <w:abstractNumId w:val="21"/>
  </w:num>
  <w:num w:numId="13">
    <w:abstractNumId w:val="7"/>
  </w:num>
  <w:num w:numId="14">
    <w:abstractNumId w:val="2"/>
  </w:num>
  <w:num w:numId="15">
    <w:abstractNumId w:val="14"/>
  </w:num>
  <w:num w:numId="16">
    <w:abstractNumId w:val="24"/>
  </w:num>
  <w:num w:numId="17">
    <w:abstractNumId w:val="1"/>
  </w:num>
  <w:num w:numId="18">
    <w:abstractNumId w:val="9"/>
  </w:num>
  <w:num w:numId="19">
    <w:abstractNumId w:val="20"/>
  </w:num>
  <w:num w:numId="20">
    <w:abstractNumId w:val="11"/>
  </w:num>
  <w:num w:numId="21">
    <w:abstractNumId w:val="3"/>
  </w:num>
  <w:num w:numId="22">
    <w:abstractNumId w:val="4"/>
  </w:num>
  <w:num w:numId="23">
    <w:abstractNumId w:val="17"/>
  </w:num>
  <w:num w:numId="24">
    <w:abstractNumId w:val="10"/>
  </w:num>
  <w:num w:numId="25">
    <w:abstractNumId w:val="13"/>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0"/>
    <w:rsid w:val="0000621F"/>
    <w:rsid w:val="000900EA"/>
    <w:rsid w:val="000C54D3"/>
    <w:rsid w:val="000D5767"/>
    <w:rsid w:val="00134104"/>
    <w:rsid w:val="001536EB"/>
    <w:rsid w:val="001547C9"/>
    <w:rsid w:val="001A7C6D"/>
    <w:rsid w:val="00272632"/>
    <w:rsid w:val="00283575"/>
    <w:rsid w:val="002F7C0E"/>
    <w:rsid w:val="00312C7B"/>
    <w:rsid w:val="00313539"/>
    <w:rsid w:val="0034364D"/>
    <w:rsid w:val="0036071A"/>
    <w:rsid w:val="00384C30"/>
    <w:rsid w:val="00396187"/>
    <w:rsid w:val="003B76D9"/>
    <w:rsid w:val="003C4AE7"/>
    <w:rsid w:val="004213FB"/>
    <w:rsid w:val="004364E3"/>
    <w:rsid w:val="004C7E4F"/>
    <w:rsid w:val="004D3EFB"/>
    <w:rsid w:val="0050290D"/>
    <w:rsid w:val="00554F99"/>
    <w:rsid w:val="00564280"/>
    <w:rsid w:val="005C3678"/>
    <w:rsid w:val="005D022E"/>
    <w:rsid w:val="005D6518"/>
    <w:rsid w:val="005E1FB8"/>
    <w:rsid w:val="0060407D"/>
    <w:rsid w:val="006323EA"/>
    <w:rsid w:val="00645209"/>
    <w:rsid w:val="006876FD"/>
    <w:rsid w:val="0069528B"/>
    <w:rsid w:val="006A3454"/>
    <w:rsid w:val="0071022D"/>
    <w:rsid w:val="00724DB5"/>
    <w:rsid w:val="007D11D9"/>
    <w:rsid w:val="00845128"/>
    <w:rsid w:val="00863AFC"/>
    <w:rsid w:val="00892BDF"/>
    <w:rsid w:val="008A5934"/>
    <w:rsid w:val="009047A5"/>
    <w:rsid w:val="0096390C"/>
    <w:rsid w:val="009B1687"/>
    <w:rsid w:val="009C7C1C"/>
    <w:rsid w:val="00A51FD4"/>
    <w:rsid w:val="00AC4106"/>
    <w:rsid w:val="00B017E5"/>
    <w:rsid w:val="00B124C8"/>
    <w:rsid w:val="00B35286"/>
    <w:rsid w:val="00B658D3"/>
    <w:rsid w:val="00BA1EB5"/>
    <w:rsid w:val="00BC63FC"/>
    <w:rsid w:val="00BD6E2A"/>
    <w:rsid w:val="00BE3A6D"/>
    <w:rsid w:val="00BE6529"/>
    <w:rsid w:val="00BF2E59"/>
    <w:rsid w:val="00C869C0"/>
    <w:rsid w:val="00D07EE3"/>
    <w:rsid w:val="00D145C3"/>
    <w:rsid w:val="00D261DB"/>
    <w:rsid w:val="00D32B4C"/>
    <w:rsid w:val="00D425A5"/>
    <w:rsid w:val="00D76DD8"/>
    <w:rsid w:val="00DC6259"/>
    <w:rsid w:val="00E9470A"/>
    <w:rsid w:val="00EC4285"/>
    <w:rsid w:val="00EF2F56"/>
    <w:rsid w:val="00F04FC3"/>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EE8E"/>
  <w15:chartTrackingRefBased/>
  <w15:docId w15:val="{7606AF22-CA40-4FB9-87CA-D3789376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EFB"/>
    <w:pPr>
      <w:spacing w:line="276" w:lineRule="auto"/>
    </w:pPr>
    <w:rPr>
      <w:rFonts w:ascii="Verdana" w:hAnsi="Verdana"/>
      <w:sz w:val="18"/>
      <w:lang w:val="en-US"/>
    </w:rPr>
  </w:style>
  <w:style w:type="paragraph" w:styleId="Kop5">
    <w:name w:val="heading 5"/>
    <w:basedOn w:val="Standaard"/>
    <w:next w:val="Standaard"/>
    <w:link w:val="Kop5Char"/>
    <w:uiPriority w:val="9"/>
    <w:qFormat/>
    <w:rsid w:val="004D3EFB"/>
    <w:pPr>
      <w:spacing w:after="0"/>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EF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D3EFB"/>
    <w:rPr>
      <w:rFonts w:ascii="Segoe UI" w:hAnsi="Segoe UI" w:cs="Segoe UI"/>
      <w:sz w:val="18"/>
      <w:szCs w:val="18"/>
    </w:rPr>
  </w:style>
  <w:style w:type="character" w:customStyle="1" w:styleId="Kop5Char">
    <w:name w:val="Kop 5 Char"/>
    <w:basedOn w:val="Standaardalinea-lettertype"/>
    <w:link w:val="Kop5"/>
    <w:uiPriority w:val="9"/>
    <w:rsid w:val="004D3EFB"/>
    <w:rPr>
      <w:rFonts w:ascii="Verdana" w:hAnsi="Verdana"/>
      <w:sz w:val="18"/>
      <w:lang w:val="en-US"/>
    </w:rPr>
  </w:style>
  <w:style w:type="table" w:customStyle="1" w:styleId="Lichtelijst-accent11">
    <w:name w:val="Lichte lijst - accent 11"/>
    <w:basedOn w:val="Standaardtabel"/>
    <w:uiPriority w:val="61"/>
    <w:rsid w:val="004D3EF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3">
    <w:name w:val="Light List Accent 3"/>
    <w:basedOn w:val="Standaardtabel"/>
    <w:uiPriority w:val="61"/>
    <w:rsid w:val="004D3E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raster">
    <w:name w:val="Table Grid"/>
    <w:basedOn w:val="Standaardtabel"/>
    <w:uiPriority w:val="39"/>
    <w:rsid w:val="004D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D3EFB"/>
    <w:rPr>
      <w:sz w:val="16"/>
      <w:szCs w:val="16"/>
    </w:rPr>
  </w:style>
  <w:style w:type="paragraph" w:styleId="Tekstopmerking">
    <w:name w:val="annotation text"/>
    <w:basedOn w:val="Standaard"/>
    <w:link w:val="TekstopmerkingChar"/>
    <w:uiPriority w:val="99"/>
    <w:unhideWhenUsed/>
    <w:rsid w:val="004D3EFB"/>
    <w:pPr>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rsid w:val="004D3EFB"/>
    <w:rPr>
      <w:sz w:val="20"/>
      <w:szCs w:val="20"/>
    </w:r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4D3EFB"/>
    <w:pPr>
      <w:ind w:left="720"/>
      <w:contextualSpacing/>
    </w:pPr>
  </w:style>
  <w:style w:type="character" w:styleId="Hyperlink">
    <w:name w:val="Hyperlink"/>
    <w:basedOn w:val="Standaardalinea-lettertype"/>
    <w:uiPriority w:val="99"/>
    <w:unhideWhenUsed/>
    <w:rsid w:val="004D3EFB"/>
    <w:rPr>
      <w:color w:val="0000FF"/>
      <w:u w:val="single"/>
    </w:rPr>
  </w:style>
  <w:style w:type="paragraph" w:styleId="Geenafstand">
    <w:name w:val="No Spacing"/>
    <w:uiPriority w:val="1"/>
    <w:qFormat/>
    <w:rsid w:val="004D3EFB"/>
    <w:pPr>
      <w:spacing w:after="0" w:line="240" w:lineRule="auto"/>
    </w:pPr>
    <w:rPr>
      <w:rFonts w:ascii="Roboto Light" w:hAnsi="Roboto Light"/>
      <w:color w:val="262626" w:themeColor="text1" w:themeTint="D9"/>
      <w:sz w:val="20"/>
      <w:lang w:val="en-US"/>
    </w:rPr>
  </w:style>
  <w:style w:type="paragraph" w:styleId="Onderwerpvanopmerking">
    <w:name w:val="annotation subject"/>
    <w:basedOn w:val="Tekstopmerking"/>
    <w:next w:val="Tekstopmerking"/>
    <w:link w:val="OnderwerpvanopmerkingChar"/>
    <w:uiPriority w:val="99"/>
    <w:semiHidden/>
    <w:unhideWhenUsed/>
    <w:rsid w:val="001536EB"/>
    <w:rPr>
      <w:rFonts w:ascii="Verdana" w:hAnsi="Verdana"/>
      <w:b/>
      <w:bCs/>
      <w:lang w:val="en-US"/>
    </w:rPr>
  </w:style>
  <w:style w:type="character" w:customStyle="1" w:styleId="OnderwerpvanopmerkingChar">
    <w:name w:val="Onderwerp van opmerking Char"/>
    <w:basedOn w:val="TekstopmerkingChar"/>
    <w:link w:val="Onderwerpvanopmerking"/>
    <w:uiPriority w:val="99"/>
    <w:semiHidden/>
    <w:rsid w:val="001536EB"/>
    <w:rPr>
      <w:rFonts w:ascii="Verdana" w:hAnsi="Verdana"/>
      <w:b/>
      <w:bCs/>
      <w:sz w:val="20"/>
      <w:szCs w:val="20"/>
      <w:lang w:val="en-US"/>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link w:val="Lijstalinea"/>
    <w:uiPriority w:val="34"/>
    <w:qFormat/>
    <w:locked/>
    <w:rsid w:val="006323EA"/>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6655">
      <w:bodyDiv w:val="1"/>
      <w:marLeft w:val="0"/>
      <w:marRight w:val="0"/>
      <w:marTop w:val="0"/>
      <w:marBottom w:val="0"/>
      <w:divBdr>
        <w:top w:val="none" w:sz="0" w:space="0" w:color="auto"/>
        <w:left w:val="none" w:sz="0" w:space="0" w:color="auto"/>
        <w:bottom w:val="none" w:sz="0" w:space="0" w:color="auto"/>
        <w:right w:val="none" w:sz="0" w:space="0" w:color="auto"/>
      </w:divBdr>
    </w:div>
    <w:div w:id="234169879">
      <w:bodyDiv w:val="1"/>
      <w:marLeft w:val="0"/>
      <w:marRight w:val="0"/>
      <w:marTop w:val="0"/>
      <w:marBottom w:val="0"/>
      <w:divBdr>
        <w:top w:val="none" w:sz="0" w:space="0" w:color="auto"/>
        <w:left w:val="none" w:sz="0" w:space="0" w:color="auto"/>
        <w:bottom w:val="none" w:sz="0" w:space="0" w:color="auto"/>
        <w:right w:val="none" w:sz="0" w:space="0" w:color="auto"/>
      </w:divBdr>
    </w:div>
    <w:div w:id="619847739">
      <w:bodyDiv w:val="1"/>
      <w:marLeft w:val="0"/>
      <w:marRight w:val="0"/>
      <w:marTop w:val="0"/>
      <w:marBottom w:val="0"/>
      <w:divBdr>
        <w:top w:val="none" w:sz="0" w:space="0" w:color="auto"/>
        <w:left w:val="none" w:sz="0" w:space="0" w:color="auto"/>
        <w:bottom w:val="none" w:sz="0" w:space="0" w:color="auto"/>
        <w:right w:val="none" w:sz="0" w:space="0" w:color="auto"/>
      </w:divBdr>
    </w:div>
    <w:div w:id="14582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D4298871040469E67DC351EE513E5" ma:contentTypeVersion="12" ma:contentTypeDescription="Een nieuw document maken." ma:contentTypeScope="" ma:versionID="e960b43b571c5de35076f80af7f565dd">
  <xsd:schema xmlns:xsd="http://www.w3.org/2001/XMLSchema" xmlns:xs="http://www.w3.org/2001/XMLSchema" xmlns:p="http://schemas.microsoft.com/office/2006/metadata/properties" xmlns:ns2="8bc00cfe-ddf0-4ac5-b10d-23f93304def2" xmlns:ns3="ee28fb96-fc34-4922-b1fa-2adce8b1524d" targetNamespace="http://schemas.microsoft.com/office/2006/metadata/properties" ma:root="true" ma:fieldsID="b08856c7411a3c61ddf29c29302e42ac" ns2:_="" ns3:_="">
    <xsd:import namespace="8bc00cfe-ddf0-4ac5-b10d-23f93304def2"/>
    <xsd:import namespace="ee28fb96-fc34-4922-b1fa-2adce8b1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0cfe-ddf0-4ac5-b10d-23f93304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8fb96-fc34-4922-b1fa-2adce8b1524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BC26-71D4-4584-806B-AFB2806FD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E2608-F3F2-4324-812C-6D79A843D45D}">
  <ds:schemaRefs>
    <ds:schemaRef ds:uri="http://schemas.microsoft.com/sharepoint/v3/contenttype/forms"/>
  </ds:schemaRefs>
</ds:datastoreItem>
</file>

<file path=customXml/itemProps3.xml><?xml version="1.0" encoding="utf-8"?>
<ds:datastoreItem xmlns:ds="http://schemas.openxmlformats.org/officeDocument/2006/customXml" ds:itemID="{554DB75B-DDB5-48BC-AD5C-172C26E38518}"/>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4493</Characters>
  <Application>Microsoft Office Word</Application>
  <DocSecurity>0</DocSecurity>
  <Lines>95</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Mourik, L.M. MSc van (Milou)</dc:creator>
  <cp:keywords/>
  <dc:description/>
  <cp:lastModifiedBy>Claire Dekkers</cp:lastModifiedBy>
  <cp:revision>2</cp:revision>
  <dcterms:created xsi:type="dcterms:W3CDTF">2021-04-08T12:40:00Z</dcterms:created>
  <dcterms:modified xsi:type="dcterms:W3CDTF">2021-04-08T12:40:00Z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0x010100F26D4298871040469E67DC351EE513E5</vt:lpwstr>
  </property>
</Properties>
</file>